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Администрация </w:t>
      </w:r>
    </w:p>
    <w:p w:rsidR="00131548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Сельского поселения «Деревня Михеево</w:t>
      </w:r>
      <w:r w:rsidRPr="00FD24C9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36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Медынского района</w:t>
      </w:r>
      <w:r w:rsidRPr="00FD24C9">
        <w:rPr>
          <w:rFonts w:ascii="Times New Roman" w:hAnsi="Times New Roman" w:cs="Times New Roman"/>
          <w:b/>
          <w:kern w:val="0"/>
          <w:sz w:val="36"/>
          <w:szCs w:val="24"/>
          <w:lang w:eastAsia="ru-RU"/>
        </w:rPr>
        <w:t xml:space="preserve"> </w:t>
      </w: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36"/>
          <w:szCs w:val="20"/>
          <w:lang w:eastAsia="ru-RU"/>
        </w:rPr>
      </w:pPr>
      <w:r w:rsidRPr="00FD24C9">
        <w:rPr>
          <w:rFonts w:ascii="Times New Roman" w:hAnsi="Times New Roman" w:cs="Times New Roman"/>
          <w:b/>
          <w:kern w:val="0"/>
          <w:sz w:val="36"/>
          <w:szCs w:val="24"/>
          <w:lang w:eastAsia="ru-RU"/>
        </w:rPr>
        <w:t>Калужской области</w:t>
      </w: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36"/>
          <w:szCs w:val="24"/>
          <w:lang w:eastAsia="ru-RU"/>
        </w:rPr>
      </w:pPr>
      <w:r w:rsidRPr="00FD24C9">
        <w:rPr>
          <w:rFonts w:ascii="Times New Roman" w:hAnsi="Times New Roman" w:cs="Times New Roman"/>
          <w:b/>
          <w:kern w:val="0"/>
          <w:sz w:val="36"/>
          <w:szCs w:val="24"/>
          <w:lang w:eastAsia="ru-RU"/>
        </w:rPr>
        <w:t>ПОСТАНОВЛЕНИЕ</w:t>
      </w: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32"/>
          <w:szCs w:val="20"/>
          <w:lang w:eastAsia="ru-RU"/>
        </w:rPr>
      </w:pPr>
    </w:p>
    <w:p w:rsidR="00131548" w:rsidRPr="00FD24C9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D24C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от </w:t>
      </w:r>
      <w:r w:rsidRPr="00FD24C9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</w:t>
      </w:r>
      <w:r w:rsidR="00B87BD0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25</w:t>
      </w:r>
      <w:r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октября </w:t>
      </w:r>
      <w:r w:rsidRPr="00FD24C9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20</w:t>
      </w:r>
      <w:r w:rsidR="00B87BD0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22</w:t>
      </w:r>
      <w:r w:rsidRPr="00FD24C9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года</w:t>
      </w:r>
      <w:r w:rsidRPr="00FD24C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№</w:t>
      </w:r>
      <w:r w:rsidRPr="00FD24C9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</w:t>
      </w:r>
      <w:r w:rsidR="00B87BD0">
        <w:rPr>
          <w:rFonts w:ascii="Times New Roman" w:hAnsi="Times New Roman" w:cs="Times New Roman"/>
          <w:kern w:val="0"/>
          <w:sz w:val="24"/>
          <w:szCs w:val="24"/>
          <w:u w:val="single"/>
          <w:lang w:eastAsia="ru-RU"/>
        </w:rPr>
        <w:t>38</w:t>
      </w:r>
    </w:p>
    <w:p w:rsidR="00131548" w:rsidRPr="00E72DB8" w:rsidRDefault="00131548" w:rsidP="0013154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</w:pPr>
      <w:r w:rsidRPr="00FD24C9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 </w:t>
      </w:r>
    </w:p>
    <w:p w:rsidR="00131548" w:rsidRDefault="00131548" w:rsidP="00131548">
      <w:pPr>
        <w:suppressAutoHyphens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Об утверждении </w:t>
      </w:r>
      <w:r w:rsidRPr="006A434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предварительных итогов социально – экономического развития 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сельского поселения «Деревня Михеево» </w:t>
      </w:r>
      <w:r w:rsidRPr="006A434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за </w:t>
      </w:r>
      <w:r w:rsidR="00B87BD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истекший период 2022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года </w:t>
      </w:r>
      <w:r w:rsidRPr="006A434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и ожидаемых итогах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6A434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социально-экономического развития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6A434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сельского поселения </w:t>
      </w:r>
      <w:r w:rsidR="00B87BD0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«Деревня Михеево» за 2022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 год</w:t>
      </w:r>
    </w:p>
    <w:p w:rsidR="00131548" w:rsidRPr="0084347F" w:rsidRDefault="00131548" w:rsidP="00131548">
      <w:pPr>
        <w:suppressAutoHyphens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31548" w:rsidRDefault="00131548" w:rsidP="00131548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FD24C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с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>Бюджетн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ым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кодекс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ом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Российской Федерации,</w:t>
      </w:r>
      <w:r w:rsidRPr="00B81B47">
        <w:t xml:space="preserve">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>Федеральным Законом от 06 октября 2003 года №131-ФЗ (с изменениями и дополнениями) «Об общих принципах организации местного самоуправления в Российской Федерации», Положением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>о бюджетном процессе в сельском поселении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«Деревня Михеево»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>, утвержденном решением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Сельской Думы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сельского поселения от </w:t>
      </w:r>
      <w:r w:rsidRPr="00EB650A">
        <w:rPr>
          <w:rFonts w:ascii="Times New Roman" w:hAnsi="Times New Roman" w:cs="Times New Roman"/>
          <w:kern w:val="0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6</w:t>
      </w:r>
      <w:r w:rsidRPr="00EB650A">
        <w:rPr>
          <w:rFonts w:ascii="Times New Roman" w:hAnsi="Times New Roman" w:cs="Times New Roman"/>
          <w:kern w:val="0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11.2020</w:t>
      </w:r>
      <w:r w:rsidRPr="00EB650A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14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Уставом муниципального образования с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ельского поселения «Деревня Михеево», </w:t>
      </w:r>
      <w:r w:rsidR="00B87BD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администрация 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льского поселения «Деревня Михеево</w:t>
      </w:r>
      <w:r w:rsidRPr="00B81B47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» </w:t>
      </w:r>
      <w:proofErr w:type="gramEnd"/>
    </w:p>
    <w:p w:rsidR="00131548" w:rsidRDefault="00131548" w:rsidP="00131548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                                        </w:t>
      </w:r>
      <w:r w:rsidRPr="00B81B47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ПОСТАНОВЛЯЕТ:</w:t>
      </w:r>
    </w:p>
    <w:p w:rsidR="00131548" w:rsidRDefault="00131548" w:rsidP="00131548">
      <w:pPr>
        <w:numPr>
          <w:ilvl w:val="0"/>
          <w:numId w:val="1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У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>тве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рдить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предварительны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е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итог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и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социально – экономического развития сельского поселения «Дерев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ня Михеево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>» за истекший период 20</w:t>
      </w:r>
      <w:r w:rsidR="00B87BD0">
        <w:rPr>
          <w:rFonts w:ascii="Times New Roman" w:hAnsi="Times New Roman" w:cs="Times New Roman"/>
          <w:kern w:val="0"/>
          <w:sz w:val="26"/>
          <w:szCs w:val="26"/>
          <w:lang w:eastAsia="ru-RU"/>
        </w:rPr>
        <w:t>22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года и ожидаемы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е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итог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и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социально-экономического развития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>се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льского поселения «Деревня Михеево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>» за 20</w:t>
      </w:r>
      <w:r w:rsidR="00B87BD0">
        <w:rPr>
          <w:rFonts w:ascii="Times New Roman" w:hAnsi="Times New Roman" w:cs="Times New Roman"/>
          <w:kern w:val="0"/>
          <w:sz w:val="26"/>
          <w:szCs w:val="26"/>
          <w:lang w:eastAsia="ru-RU"/>
        </w:rPr>
        <w:t>22</w:t>
      </w:r>
      <w:r w:rsidRPr="006A434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(приложение №1).</w:t>
      </w:r>
    </w:p>
    <w:p w:rsidR="00131548" w:rsidRDefault="00131548" w:rsidP="00131548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2. </w:t>
      </w:r>
      <w:proofErr w:type="gramStart"/>
      <w:r w:rsidRPr="0019143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Настоящее постановление вступает в силу со дня его подписания, </w:t>
      </w:r>
      <w:r w:rsidR="00B87BD0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19143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подлежит официальному обнародованию на специально отведенном месте для обнародования нормативных правовых актов органов местного самоуправления се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льского поселения «Деревня Михеево</w:t>
      </w:r>
      <w:r w:rsidRPr="00191438">
        <w:rPr>
          <w:rFonts w:ascii="Times New Roman" w:hAnsi="Times New Roman" w:cs="Times New Roman"/>
          <w:kern w:val="0"/>
          <w:sz w:val="26"/>
          <w:szCs w:val="26"/>
          <w:lang w:eastAsia="ru-RU"/>
        </w:rPr>
        <w:t>»,  определённым Решением Сельской Думы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 «Деревня Михеево » от 16.10.2005 №14</w:t>
      </w:r>
      <w:r w:rsidRPr="0019143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и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размещению на официальном сайте администрации </w:t>
      </w:r>
      <w:r w:rsidRPr="0019143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«Деревня Михеево в сети «Интернет»</w:t>
      </w:r>
      <w:r w:rsidRPr="00EB650A">
        <w:rPr>
          <w:rFonts w:ascii="Times New Roman" w:hAnsi="Times New Roman" w:cs="Times New Roman"/>
          <w:kern w:val="0"/>
          <w:sz w:val="26"/>
          <w:szCs w:val="26"/>
          <w:lang w:eastAsia="ru-RU"/>
        </w:rPr>
        <w:t>.</w:t>
      </w:r>
      <w:proofErr w:type="gramEnd"/>
    </w:p>
    <w:p w:rsidR="00131548" w:rsidRPr="00FD24C9" w:rsidRDefault="00131548" w:rsidP="00131548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3. </w:t>
      </w:r>
      <w:proofErr w:type="gramStart"/>
      <w:r w:rsidRPr="00191438">
        <w:rPr>
          <w:rFonts w:ascii="Times New Roman" w:hAnsi="Times New Roman" w:cs="Times New Roman"/>
          <w:kern w:val="0"/>
          <w:sz w:val="26"/>
          <w:szCs w:val="26"/>
        </w:rPr>
        <w:t>Контроль за</w:t>
      </w:r>
      <w:proofErr w:type="gramEnd"/>
      <w:r w:rsidRPr="00191438">
        <w:rPr>
          <w:rFonts w:ascii="Times New Roman" w:hAnsi="Times New Roman" w:cs="Times New Roman"/>
          <w:kern w:val="0"/>
          <w:sz w:val="26"/>
          <w:szCs w:val="26"/>
        </w:rPr>
        <w:t xml:space="preserve"> исполнением Постановления оставляю за собой</w:t>
      </w:r>
    </w:p>
    <w:p w:rsidR="00131548" w:rsidRPr="00FD24C9" w:rsidRDefault="00131548" w:rsidP="00131548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</w:p>
    <w:p w:rsidR="00131548" w:rsidRPr="00191438" w:rsidRDefault="00131548" w:rsidP="00131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Глав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а</w:t>
      </w:r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администрации</w:t>
      </w:r>
    </w:p>
    <w:p w:rsidR="00131548" w:rsidRPr="00191438" w:rsidRDefault="00131548" w:rsidP="00131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сельского поселения</w:t>
      </w:r>
    </w:p>
    <w:p w:rsidR="00131548" w:rsidRPr="009A3A77" w:rsidRDefault="00131548" w:rsidP="00131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«Деревня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 Михеево</w:t>
      </w:r>
      <w:proofErr w:type="gramStart"/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:</w:t>
      </w:r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»</w:t>
      </w:r>
      <w:proofErr w:type="gramEnd"/>
      <w:r w:rsidRPr="00191438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      С. В. Яковлева</w:t>
      </w:r>
    </w:p>
    <w:p w:rsidR="00131548" w:rsidRDefault="00131548" w:rsidP="00131548"/>
    <w:p w:rsidR="00131548" w:rsidRDefault="00131548" w:rsidP="00131548"/>
    <w:p w:rsidR="00131548" w:rsidRDefault="00131548" w:rsidP="00131548"/>
    <w:p w:rsidR="00131548" w:rsidRDefault="00131548" w:rsidP="00131548"/>
    <w:p w:rsidR="00131548" w:rsidRPr="0016305C" w:rsidRDefault="00131548" w:rsidP="00131548">
      <w:pPr>
        <w:spacing w:after="0"/>
        <w:rPr>
          <w:rFonts w:ascii="Times New Roman" w:hAnsi="Times New Roman" w:cs="Times New Roman"/>
        </w:rPr>
      </w:pPr>
      <w:r w:rsidRPr="0016305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Приложение №1</w:t>
      </w:r>
    </w:p>
    <w:p w:rsidR="00131548" w:rsidRPr="0016305C" w:rsidRDefault="00131548" w:rsidP="00131548">
      <w:pPr>
        <w:spacing w:after="0"/>
        <w:rPr>
          <w:rFonts w:ascii="Times New Roman" w:hAnsi="Times New Roman" w:cs="Times New Roman"/>
        </w:rPr>
      </w:pPr>
      <w:r w:rsidRPr="0016305C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администрации </w:t>
      </w:r>
    </w:p>
    <w:p w:rsidR="00131548" w:rsidRPr="0016305C" w:rsidRDefault="00131548" w:rsidP="00131548">
      <w:pPr>
        <w:spacing w:after="0"/>
        <w:rPr>
          <w:rFonts w:ascii="Times New Roman" w:hAnsi="Times New Roman" w:cs="Times New Roman"/>
        </w:rPr>
      </w:pPr>
      <w:r w:rsidRPr="0016305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87BD0">
        <w:rPr>
          <w:rFonts w:ascii="Times New Roman" w:hAnsi="Times New Roman" w:cs="Times New Roman"/>
        </w:rPr>
        <w:t xml:space="preserve">                       № 38</w:t>
      </w:r>
      <w:r>
        <w:rPr>
          <w:rFonts w:ascii="Times New Roman" w:hAnsi="Times New Roman" w:cs="Times New Roman"/>
        </w:rPr>
        <w:t xml:space="preserve"> от </w:t>
      </w:r>
      <w:r w:rsidR="00B87BD0">
        <w:rPr>
          <w:rFonts w:ascii="Times New Roman" w:hAnsi="Times New Roman" w:cs="Times New Roman"/>
        </w:rPr>
        <w:t xml:space="preserve"> 25 октября 2022</w:t>
      </w:r>
      <w:r w:rsidRPr="0016305C">
        <w:rPr>
          <w:rFonts w:ascii="Times New Roman" w:hAnsi="Times New Roman" w:cs="Times New Roman"/>
        </w:rPr>
        <w:t>г.</w:t>
      </w:r>
    </w:p>
    <w:p w:rsidR="00131548" w:rsidRPr="0016305C" w:rsidRDefault="00131548" w:rsidP="00131548">
      <w:pPr>
        <w:spacing w:after="0"/>
        <w:rPr>
          <w:rFonts w:ascii="Times New Roman" w:hAnsi="Times New Roman" w:cs="Times New Roman"/>
        </w:rPr>
      </w:pPr>
    </w:p>
    <w:p w:rsidR="00131548" w:rsidRPr="0016305C" w:rsidRDefault="00131548" w:rsidP="0013154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</w:pPr>
      <w:r w:rsidRPr="0016305C">
        <w:rPr>
          <w:rFonts w:ascii="Times New Roman" w:hAnsi="Times New Roman" w:cs="Times New Roman"/>
        </w:rPr>
        <w:t xml:space="preserve">                                </w:t>
      </w:r>
      <w:r w:rsidRPr="0016305C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>Предварительные итоги  социально-экономического развития сельского поселения «Деревня Ми</w:t>
      </w:r>
      <w:r w:rsidR="00B87BD0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>хеево» за истекший период в 2022</w:t>
      </w:r>
      <w:r w:rsidRPr="0016305C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 xml:space="preserve"> года и ожидаемых итогах социально-экономического развития сельского пос</w:t>
      </w:r>
      <w:r w:rsidR="00B87BD0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>еления «Деревня Михеево» на 2022</w:t>
      </w:r>
      <w:r w:rsidRPr="0016305C">
        <w:rPr>
          <w:rFonts w:ascii="Times New Roman" w:hAnsi="Times New Roman" w:cs="Times New Roman"/>
          <w:b/>
          <w:bCs/>
          <w:kern w:val="0"/>
          <w:sz w:val="32"/>
          <w:szCs w:val="32"/>
          <w:lang w:eastAsia="ru-RU"/>
        </w:rPr>
        <w:t xml:space="preserve"> год.</w:t>
      </w:r>
    </w:p>
    <w:p w:rsidR="00131548" w:rsidRPr="0016305C" w:rsidRDefault="00131548" w:rsidP="00131548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131548" w:rsidRPr="0016305C" w:rsidRDefault="00131548" w:rsidP="00131548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Основными целями социально-экономического развития сельского поселения «Деревня Михеево» являются исполнение бюджета,  обеспечение бесперебойной работы подведомственных учреждений, благоустройство территории населенных пунктов,  обеспечение жизнедеятельности поселения, взаимодействие с предприятиями и организациями всех форм собственности с целью укрепления и развития экономики поселения, выявление проблем и вопросов поселения путем проведения сходов граждан, встреч с депутатами, формирование достойных условий жизни на селе.</w:t>
      </w:r>
      <w:proofErr w:type="gramEnd"/>
    </w:p>
    <w:p w:rsidR="00131548" w:rsidRPr="0016305C" w:rsidRDefault="00131548" w:rsidP="00131548">
      <w:pPr>
        <w:keepNext/>
        <w:suppressAutoHyphens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keepNext/>
        <w:suppressAutoHyphens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Демографическая ситуация</w:t>
      </w:r>
    </w:p>
    <w:p w:rsidR="00131548" w:rsidRPr="0016305C" w:rsidRDefault="00937F50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       На 1 октября 2022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года на территори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поселения зарегистрировано 579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человек в т. ч. - пенсионеры- </w:t>
      </w:r>
      <w:r w:rsid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134 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человека,  трудоспособного возраста </w:t>
      </w:r>
      <w:r w:rsidR="00131548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– </w:t>
      </w:r>
      <w:r w:rsidR="00B87BD0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342</w:t>
      </w:r>
      <w:r w:rsidR="00131548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человек</w:t>
      </w:r>
      <w:r w:rsidR="00B87BD0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а, дети и молодежь до 18 лет- 103</w:t>
      </w:r>
      <w:r w:rsidR="00131548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человек</w:t>
      </w:r>
      <w:r w:rsidR="00B87BD0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</w:t>
      </w:r>
      <w:r w:rsidR="00131548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131548" w:rsidRPr="0016305C" w:rsidRDefault="00937F50" w:rsidP="00131548">
      <w:pPr>
        <w:suppressAutoHyphens w:val="0"/>
        <w:spacing w:after="0" w:line="240" w:lineRule="auto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       За истекший период 2022 года умер 4 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чел., роди</w:t>
      </w:r>
      <w:r w:rsid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лось 2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человек</w:t>
      </w:r>
      <w:r w:rsid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а. Естественная  у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быль   - </w:t>
      </w:r>
      <w:r w:rsid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 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человек</w:t>
      </w:r>
      <w:r w:rsid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 Миграционн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ый поток за истекший период 2022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года отмечается </w:t>
      </w:r>
      <w:r w:rsidR="00131548" w:rsidRPr="00B87BD0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с увеличением</w:t>
      </w:r>
      <w:r w:rsidR="00131548"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Прибыло </w:t>
      </w:r>
      <w:r w:rsidR="00B87BD0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8  человек и выбыло 5</w:t>
      </w:r>
      <w:r w:rsidR="00131548" w:rsidRPr="00B87B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человек.</w:t>
      </w:r>
    </w:p>
    <w:p w:rsidR="00131548" w:rsidRPr="0016305C" w:rsidRDefault="00131548" w:rsidP="00131548">
      <w:pPr>
        <w:keepNext/>
        <w:suppressAutoHyphens w:val="0"/>
        <w:spacing w:before="100" w:after="24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Образование</w:t>
      </w:r>
      <w:r w:rsidR="00B87BD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131548" w:rsidRPr="0016305C" w:rsidRDefault="00131548" w:rsidP="00131548">
      <w:pPr>
        <w:shd w:val="clear" w:color="auto" w:fill="FFFFFF"/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Система образования в поселении представлена  одной общеобразовательной школой.</w:t>
      </w:r>
    </w:p>
    <w:p w:rsidR="00131548" w:rsidRPr="0016305C" w:rsidRDefault="00131548" w:rsidP="0013154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Так, при плановой вместимости Михеевской шк</w:t>
      </w:r>
      <w:r w:rsidR="00937F50">
        <w:rPr>
          <w:rFonts w:ascii="Times New Roman" w:hAnsi="Times New Roman" w:cs="Times New Roman"/>
          <w:kern w:val="0"/>
          <w:sz w:val="28"/>
          <w:szCs w:val="28"/>
          <w:lang w:eastAsia="ru-RU"/>
        </w:rPr>
        <w:t>олы  110 человек в ней учатся 52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ученик</w:t>
      </w:r>
      <w:r w:rsidR="00937F50">
        <w:rPr>
          <w:rFonts w:ascii="Times New Roman" w:hAnsi="Times New Roman" w:cs="Times New Roman"/>
          <w:kern w:val="0"/>
          <w:sz w:val="28"/>
          <w:szCs w:val="28"/>
          <w:lang w:eastAsia="ru-RU"/>
        </w:rPr>
        <w:t>а (наполняемость 47,3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%). </w:t>
      </w:r>
    </w:p>
    <w:p w:rsidR="00131548" w:rsidRPr="0016305C" w:rsidRDefault="00937F50" w:rsidP="0013154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В 2023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 наполняемость школы  ожидается в пределах текущего </w:t>
      </w:r>
    </w:p>
    <w:p w:rsidR="00131548" w:rsidRPr="0016305C" w:rsidRDefault="00131548" w:rsidP="0013154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года.</w:t>
      </w:r>
    </w:p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школе особое внимание уделяется укреплению материально-технической базы: оснащение оргтехникой, оборуд</w:t>
      </w:r>
      <w:r w:rsidR="00937F50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ованием, спортинвентарем. В 2022</w:t>
      </w: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году произведен косметический ремонт школы – покрашены полы во всех классах и коридоре 2 этаж</w:t>
      </w:r>
      <w:r w:rsidR="00937F50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а, функционирует </w:t>
      </w: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центр образования </w:t>
      </w:r>
      <w:proofErr w:type="gramStart"/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естественно-научной</w:t>
      </w:r>
      <w:proofErr w:type="gramEnd"/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и технологическ</w:t>
      </w:r>
      <w:r w:rsidR="00937F50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ой направленности «Точка Роста», в сентябре 2022 года около школы открылась новая площадка ВФСК ГТО</w:t>
      </w:r>
    </w:p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iCs/>
          <w:color w:val="333333"/>
          <w:kern w:val="0"/>
          <w:sz w:val="28"/>
          <w:szCs w:val="28"/>
          <w:lang w:eastAsia="ru-RU"/>
        </w:rPr>
        <w:t xml:space="preserve">                                                Здравоохранение</w:t>
      </w:r>
    </w:p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</w:rPr>
        <w:lastRenderedPageBreak/>
        <w:t> </w:t>
      </w: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   На территории сельского поселения функционируют 1 фельдшерско-акушерский пункт.     Обеспеченность медицинским персоналом составляет 100%.</w:t>
      </w:r>
    </w:p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Основная задача здравоохранения в  предстоящем  периоде - улучшение показателей здоровья населения и демографической ситуации в поселении.  </w:t>
      </w:r>
    </w:p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 9 месяцев в ФАПе  принято амбулаторно </w:t>
      </w:r>
      <w:r w:rsidRP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 </w:t>
      </w:r>
      <w:r w:rsidR="00633EE3" w:rsidRP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>742., на дому - 373</w:t>
      </w:r>
      <w:r w:rsidRP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чел</w:t>
      </w:r>
      <w:proofErr w:type="gramStart"/>
      <w:r w:rsidRP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.</w:t>
      </w:r>
      <w:proofErr w:type="gramEnd"/>
    </w:p>
    <w:p w:rsidR="00131548" w:rsidRPr="0016305C" w:rsidRDefault="00131548" w:rsidP="0013154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keepNext/>
        <w:suppressAutoHyphens w:val="0"/>
        <w:spacing w:before="100" w:after="240"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Инфраструктура</w:t>
      </w:r>
    </w:p>
    <w:p w:rsidR="00131548" w:rsidRPr="0016305C" w:rsidRDefault="00131548" w:rsidP="00131548">
      <w:pPr>
        <w:suppressAutoHyphens w:val="0"/>
        <w:spacing w:after="100" w:line="240" w:lineRule="auto"/>
        <w:ind w:firstLine="70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 сельского поселения имеются следующие организации:</w:t>
      </w:r>
    </w:p>
    <w:p w:rsidR="00131548" w:rsidRPr="0016305C" w:rsidRDefault="00131548" w:rsidP="00131548">
      <w:pPr>
        <w:suppressAutoHyphens w:val="0"/>
        <w:spacing w:after="100" w:line="240" w:lineRule="auto"/>
        <w:ind w:firstLine="70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-    Администрация СП «Деревня Михеево»</w:t>
      </w:r>
    </w:p>
    <w:p w:rsidR="00131548" w:rsidRPr="0016305C" w:rsidRDefault="00131548" w:rsidP="00131548">
      <w:pPr>
        <w:suppressAutoHyphens w:val="0"/>
        <w:spacing w:after="100" w:line="240" w:lineRule="auto"/>
        <w:ind w:firstLine="70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-    МКУК МКМЦ Филиал №9 Михеевский СДК</w:t>
      </w:r>
    </w:p>
    <w:p w:rsidR="00131548" w:rsidRPr="0016305C" w:rsidRDefault="00131548" w:rsidP="00131548">
      <w:pPr>
        <w:suppressAutoHyphens w:val="0"/>
        <w:spacing w:after="100" w:line="240" w:lineRule="auto"/>
        <w:ind w:firstLine="70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-    МКУК ММЦБ Филиал №9 Михеевская сельская библиотек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МКОУ Михеевская ООШ;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Улановский ФАП</w:t>
      </w:r>
    </w:p>
    <w:p w:rsidR="00131548" w:rsidRPr="0016305C" w:rsidRDefault="005078C4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Структурное подразделение ОАО «К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алужская Нива»;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ОАО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Авиадеревня</w:t>
      </w:r>
      <w:proofErr w:type="spell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Михеево»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ОАО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Медыньстройинвест</w:t>
      </w:r>
      <w:proofErr w:type="spell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»;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Магазин ООО «Мы»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Магазин ИП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Монахова</w:t>
      </w:r>
      <w:proofErr w:type="spellEnd"/>
    </w:p>
    <w:p w:rsidR="00131548" w:rsidRDefault="00131548" w:rsidP="005078C4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ИП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Канский</w:t>
      </w:r>
      <w:proofErr w:type="spell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»;</w:t>
      </w:r>
    </w:p>
    <w:p w:rsidR="00131548" w:rsidRPr="00E5583E" w:rsidRDefault="005078C4" w:rsidP="00E5583E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Мурзаев</w:t>
      </w:r>
      <w:proofErr w:type="spellEnd"/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И.В.</w:t>
      </w:r>
    </w:p>
    <w:p w:rsidR="00131548" w:rsidRPr="0016305C" w:rsidRDefault="00131548" w:rsidP="00131548">
      <w:pPr>
        <w:numPr>
          <w:ilvl w:val="0"/>
          <w:numId w:val="2"/>
        </w:numPr>
        <w:suppressAutoHyphens w:val="0"/>
        <w:spacing w:after="10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КФХ «Кленков»</w:t>
      </w:r>
    </w:p>
    <w:p w:rsidR="00131548" w:rsidRPr="0016305C" w:rsidRDefault="00131548" w:rsidP="00131548">
      <w:pPr>
        <w:suppressAutoHyphens w:val="0"/>
        <w:spacing w:after="100" w:line="240" w:lineRule="auto"/>
        <w:ind w:left="709"/>
        <w:jc w:val="both"/>
        <w:textAlignment w:val="top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</w:t>
      </w:r>
      <w:r w:rsidRPr="0016305C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Благоустройство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Расходы по благоустройству  осуществлялись  в соответствии с программой по благоустройству сельского поселения.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Общая сумма расходов на благоустро</w:t>
      </w:r>
      <w:r w:rsidR="005078C4">
        <w:rPr>
          <w:rFonts w:ascii="Times New Roman" w:hAnsi="Times New Roman" w:cs="Times New Roman"/>
          <w:kern w:val="0"/>
          <w:sz w:val="28"/>
          <w:szCs w:val="28"/>
          <w:lang w:eastAsia="ru-RU"/>
        </w:rPr>
        <w:t>йство в целом  за 9 месяцев 2022 года  составила 1 510,0 тыс.  и была направлена на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мероприятия по благоустройству территории: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ремонт</w:t>
      </w:r>
      <w:r w:rsidR="005078C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покраска </w:t>
      </w:r>
      <w:r w:rsidR="005078C4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детской площадки в д. Михеево</w:t>
      </w:r>
      <w:proofErr w:type="gramStart"/>
      <w:r w:rsidR="005C7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,</w:t>
      </w:r>
      <w:proofErr w:type="gramEnd"/>
      <w:r w:rsidR="005C7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опиловку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деревьев, окашивание территории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населенных пунктов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ремонт памятников, 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ремонт уличного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>свещения, ремонт внутрипоселенческих автомобильных дорог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                                                                     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Содействие населению по организации сбора и   вывоза ТБО;</w:t>
      </w:r>
    </w:p>
    <w:p w:rsidR="00131548" w:rsidRPr="0016305C" w:rsidRDefault="00E5583E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существление </w:t>
      </w:r>
      <w:proofErr w:type="gramStart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порядком сбора и вывоза бытовых отходов и мусора,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собственности, систематический контроль за освещением поселения, замена и установка светильников;</w:t>
      </w:r>
    </w:p>
    <w:p w:rsidR="00131548" w:rsidRPr="0016305C" w:rsidRDefault="00131548" w:rsidP="00131548">
      <w:pPr>
        <w:suppressAutoHyphens w:val="0"/>
        <w:spacing w:after="240" w:line="240" w:lineRule="auto"/>
        <w:jc w:val="center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Коммунальное хозяйство</w:t>
      </w:r>
    </w:p>
    <w:p w:rsidR="00131548" w:rsidRPr="0016305C" w:rsidRDefault="00131548" w:rsidP="00131548">
      <w:pPr>
        <w:tabs>
          <w:tab w:val="left" w:pos="540"/>
        </w:tabs>
        <w:suppressAutoHyphens w:val="0"/>
        <w:spacing w:after="24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Коммунальные услуги  оказывают  населению и организациям поселения в сфере теплоснабжения  ООО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Теплосервис</w:t>
      </w:r>
      <w:proofErr w:type="spell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», водоснабжения и водоотведения  Медынский участок ОАО «</w:t>
      </w:r>
      <w:proofErr w:type="spell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Калугаоблводоканал</w:t>
      </w:r>
      <w:proofErr w:type="spell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131548" w:rsidRPr="0016305C" w:rsidRDefault="00131548" w:rsidP="00131548">
      <w:pPr>
        <w:keepNext/>
        <w:suppressAutoHyphens w:val="0"/>
        <w:spacing w:after="240" w:line="240" w:lineRule="auto"/>
        <w:ind w:firstLine="708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Противопожарная безопасность</w:t>
      </w:r>
    </w:p>
    <w:p w:rsidR="00131548" w:rsidRPr="0016305C" w:rsidRDefault="005C717E" w:rsidP="00131548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 2022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 работа  по обеспечению первичных мер пожарной безопасности  проводилась в соответствии с Федеральными Законами, Планом основных мероприятий  сельского поселения по вопросам  обеспечения пожарной безопасности. 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proofErr w:type="gramEnd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населенных пунктов  с вручением   памяток  по пропаганде противопожарных мероприятий. В каждом населенном пункте закреплены ответственные для оперативной связи, имеются сигналы громкого боя. Проводились совместные рейды с </w:t>
      </w:r>
      <w:proofErr w:type="spellStart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пож</w:t>
      </w:r>
      <w:proofErr w:type="spellEnd"/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. инспектором в неблагополучные и многодетные семьи. Результатами проделанной работы является отсутствие пожаров в домовладения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х и гибели людей, в 2022 году в сельском поселении не было  возгораний 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связан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х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 палом травы. 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131548" w:rsidRPr="0016305C" w:rsidRDefault="00131548" w:rsidP="00131548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-    круглогодично содержать подъезды к пожарным водоемам в проезжем состоянии;</w:t>
      </w:r>
    </w:p>
    <w:p w:rsidR="00131548" w:rsidRPr="0016305C" w:rsidRDefault="005C717E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В 2023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 работы по противопожарной безопасности будут продолжены. </w:t>
      </w:r>
    </w:p>
    <w:p w:rsidR="00131548" w:rsidRPr="0016305C" w:rsidRDefault="00131548" w:rsidP="00131548">
      <w:pPr>
        <w:keepNext/>
        <w:suppressAutoHyphens w:val="0"/>
        <w:spacing w:after="240" w:line="240" w:lineRule="auto"/>
        <w:ind w:firstLine="708"/>
        <w:jc w:val="center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Сельское хозяйство</w:t>
      </w:r>
    </w:p>
    <w:p w:rsidR="00131548" w:rsidRPr="0016305C" w:rsidRDefault="00131548" w:rsidP="00131548">
      <w:pPr>
        <w:suppressAutoHyphens w:val="0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Сельское хозяйство представлено структурным подразделением ОАО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«Калужская Нива”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, КФХ Кленков</w:t>
      </w:r>
    </w:p>
    <w:p w:rsidR="00131548" w:rsidRPr="0016305C" w:rsidRDefault="00131548" w:rsidP="00131548">
      <w:pPr>
        <w:suppressAutoHyphens w:val="0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Площ</w:t>
      </w:r>
      <w:r w:rsidR="00E5583E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адь   с/х угодий составляет – 396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0 га. На территории поселения выращиваются зерновые культуры, </w:t>
      </w:r>
      <w:r w:rsidR="005C717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кукуруза,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многолетние травы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,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КФХ  картофель и овощи.</w:t>
      </w:r>
    </w:p>
    <w:p w:rsidR="00131548" w:rsidRPr="0016305C" w:rsidRDefault="00131548" w:rsidP="00131548">
      <w:pPr>
        <w:suppressAutoHyphens w:val="0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Также на территории поселения </w:t>
      </w:r>
      <w:r w:rsid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>175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личных подсобных хозяйства граждан.</w:t>
      </w:r>
    </w:p>
    <w:p w:rsidR="00131548" w:rsidRPr="0016305C" w:rsidRDefault="00131548" w:rsidP="00131548">
      <w:pPr>
        <w:suppressAutoHyphens w:val="0"/>
        <w:spacing w:after="75" w:line="312" w:lineRule="atLeast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Показатели состояния личных хозяйств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253"/>
        <w:gridCol w:w="1240"/>
        <w:gridCol w:w="1166"/>
        <w:gridCol w:w="1151"/>
      </w:tblGrid>
      <w:tr w:rsidR="00131548" w:rsidRPr="0016305C" w:rsidTr="007968B5"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proofErr w:type="spellStart"/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Ед</w:t>
            </w:r>
            <w:proofErr w:type="gramStart"/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.и</w:t>
            </w:r>
            <w:proofErr w:type="gramEnd"/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зм</w:t>
            </w:r>
            <w:proofErr w:type="spellEnd"/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2020</w:t>
            </w:r>
            <w:r w:rsidR="00131548"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2021</w:t>
            </w:r>
            <w:r w:rsidR="00131548"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2022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Количество личных подворий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633EE3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175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Поголовье КРС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633EE3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2/1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Поголовье свиней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Поголовье овец и коз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  <w:r w:rsidR="00131548"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lastRenderedPageBreak/>
              <w:t>Поголовье кроликов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Поголовье птиц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31548" w:rsidRPr="0016305C" w:rsidRDefault="00E61F06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1261</w:t>
            </w:r>
          </w:p>
        </w:tc>
      </w:tr>
      <w:tr w:rsidR="00131548" w:rsidRPr="0016305C" w:rsidTr="007968B5"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5C717E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12</w:t>
            </w:r>
            <w:r w:rsidR="00131548"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E61F06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139</w:t>
            </w:r>
          </w:p>
        </w:tc>
      </w:tr>
    </w:tbl>
    <w:p w:rsidR="00131548" w:rsidRPr="0016305C" w:rsidRDefault="00131548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suppressAutoHyphens w:val="0"/>
        <w:spacing w:after="240" w:line="240" w:lineRule="auto"/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                                             </w:t>
      </w:r>
      <w:r w:rsidRPr="0016305C">
        <w:rPr>
          <w:rFonts w:ascii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Содержание и ремонт дорог.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  Общая протяженность внутрипо</w:t>
      </w:r>
      <w:r w:rsidR="00633EE3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селенческих  дорог составляет 22,5</w:t>
      </w:r>
      <w:r w:rsidR="005C717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км</w:t>
      </w:r>
      <w:proofErr w:type="gramStart"/>
      <w:r w:rsidR="005C717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proofErr w:type="gramEnd"/>
      <w:r w:rsidR="005C717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proofErr w:type="gramStart"/>
      <w:r w:rsidR="005C717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</w:t>
      </w:r>
      <w:proofErr w:type="gramEnd"/>
      <w:r w:rsidR="005C717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23,65</w:t>
      </w: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км дороги районно</w:t>
      </w:r>
      <w:r w:rsidR="001662D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го значения. За  9 месяцев  2022</w:t>
      </w: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года на  содержание и ремонт дорог за счет местного бюдже</w:t>
      </w:r>
      <w:r w:rsidR="001662D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та израсходовано 1 352,5 тыс. рублей (62,8</w:t>
      </w: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% от запланированных значений).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     Состояние транспортной инфраструктуры ухудшается с каждым годом, дорожная сеть подвергается прогрессирующему разрушению, объем финансовых средств, выделяемых на ремонт дорог значительно меньше реальной потребности.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    За 9 месяцев в поселении отремонтированы  следующие участки дорог с твёрдым покрытием в  д. Михе</w:t>
      </w:r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>ево от домовладения №126 до домовладения № 138 – 140 м.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отсыпано  щебнем автодорога </w:t>
      </w:r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>к новой улице в Михеево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proofErr w:type="gramEnd"/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отсыпана  дорога в д. Агеевка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200 метров, </w:t>
      </w:r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отсыпана щебнем автодорога Михеево- Клины, часть автодороги д. Михеево- д. Самсоново, отремонтировано три проблемных участка на автодороге д. Самсоново- д.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Горнево</w:t>
      </w:r>
      <w:r w:rsidR="001662D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д. Горнево сделан переезд </w:t>
      </w:r>
      <w:r w:rsidR="00266E3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через овраг с укладкой трубы, отремонтирован переезд в д. Клины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эта работа будет продолжена.</w:t>
      </w:r>
    </w:p>
    <w:p w:rsidR="00131548" w:rsidRPr="0016305C" w:rsidRDefault="00266E33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 бюджет поселения на 2023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год необходимо запланировать с учетом содержания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дорог в зимнее время не менее  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млн. рублей.</w:t>
      </w:r>
    </w:p>
    <w:p w:rsidR="00131548" w:rsidRPr="0016305C" w:rsidRDefault="00131548" w:rsidP="00131548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keepNext/>
        <w:suppressAutoHyphens w:val="0"/>
        <w:spacing w:before="100" w:after="240" w:line="240" w:lineRule="auto"/>
        <w:jc w:val="center"/>
        <w:outlineLvl w:val="3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Физическая культура и спорт, организация работы с детьми и молодежью, культура</w:t>
      </w:r>
    </w:p>
    <w:p w:rsidR="00131548" w:rsidRPr="0016305C" w:rsidRDefault="00131548" w:rsidP="00131548">
      <w:pPr>
        <w:suppressAutoHyphens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территории сельского поселения «Деревня Михеево» расположен филиал №9 Михеевский Дом культуры,   филиал №9 Михеевская сельская библиотека. Их деятельность направлена 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131548" w:rsidRPr="0016305C" w:rsidRDefault="00131548" w:rsidP="00131548">
      <w:pPr>
        <w:numPr>
          <w:ilvl w:val="0"/>
          <w:numId w:val="2"/>
        </w:numPr>
        <w:tabs>
          <w:tab w:val="num" w:pos="180"/>
        </w:tabs>
        <w:suppressAutoHyphens w:val="0"/>
        <w:spacing w:after="0" w:line="240" w:lineRule="auto"/>
        <w:ind w:hanging="106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проведение спортивно-массовых и культурных  мероприятий</w:t>
      </w:r>
    </w:p>
    <w:p w:rsidR="00131548" w:rsidRPr="0016305C" w:rsidRDefault="00131548" w:rsidP="00131548">
      <w:pPr>
        <w:numPr>
          <w:ilvl w:val="0"/>
          <w:numId w:val="2"/>
        </w:numPr>
        <w:tabs>
          <w:tab w:val="num" w:pos="180"/>
        </w:tabs>
        <w:suppressAutoHyphens w:val="0"/>
        <w:spacing w:after="0" w:line="240" w:lineRule="auto"/>
        <w:ind w:hanging="1069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сохранение и развитие культурного наследия;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- стимулирование народного творчества и развитие культурно-досуговой деятельности (литературные вечера, викторины, конкурсы, концерты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)и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многое другое;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-    содействие талантливой молодежи.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При Михеевской школе  работают спортивные секции: детский футбол, волейбол, баскетбол, на</w:t>
      </w:r>
      <w:r w:rsidR="00633EE3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стольный теннис, шашки, шахматы. Построена новая  спортивная площадка для сдачи норм ГТО.</w:t>
      </w:r>
    </w:p>
    <w:p w:rsidR="00131548" w:rsidRPr="0016305C" w:rsidRDefault="00266E33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спортивных площадках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около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Михеевского 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СДК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Михеевской школе 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имеется возможность заниматься спортом круглогодично.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Молодежь поселения ежегодно принимает участие в районных летних спартакиадах сельских поселений. Неоднократно становились призерами районных  спартакиад сельских поселений.  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</w:t>
      </w:r>
    </w:p>
    <w:p w:rsidR="00957330" w:rsidRPr="0016305C" w:rsidRDefault="00131548" w:rsidP="0095733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Михеевским сельским Домом культуры за 9 месяцев 202</w:t>
      </w:r>
      <w:r w:rsidR="00266E33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года проведено </w:t>
      </w:r>
      <w:r w:rsidR="00EA0872">
        <w:rPr>
          <w:rFonts w:ascii="Times New Roman" w:hAnsi="Times New Roman" w:cs="Times New Roman"/>
          <w:kern w:val="0"/>
          <w:sz w:val="28"/>
          <w:szCs w:val="28"/>
          <w:lang w:eastAsia="ru-RU"/>
        </w:rPr>
        <w:t>124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культурно-массовых мероприятий. Принимали участие в различных</w:t>
      </w:r>
      <w:r w:rsidR="00EA08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всероссийских и международных конкурсах,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районных и  областных  мероприятиях. 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266E33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В 2023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 работа учреждений культуры будет продолжена для удовлетворения потребностей населения в культурной и спортивной сфере.</w:t>
      </w:r>
    </w:p>
    <w:p w:rsidR="00131548" w:rsidRPr="0016305C" w:rsidRDefault="00266E33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 2023</w:t>
      </w:r>
      <w:r w:rsidR="00131548"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 и последующие годы в целях развития массовой культуры и спорта в поселении будут проводиться соревнования среди учащихся и молодёжи, местные этапы всероссийских массовых соревнований « Лыжня России», « Кросс наций», соревнования по месту жительства по футболу, хоккею, волейболу, шашкам, шахматам;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привлечение спонсорских средств на развитие спорта на территории поселения.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textAlignment w:val="top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keepNext/>
        <w:suppressAutoHyphens w:val="0"/>
        <w:spacing w:after="240" w:line="240" w:lineRule="auto"/>
        <w:jc w:val="center"/>
        <w:outlineLvl w:val="3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Финансовый потенциал</w:t>
      </w:r>
    </w:p>
    <w:p w:rsidR="00131548" w:rsidRPr="0016305C" w:rsidRDefault="00131548" w:rsidP="0013154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Состояние финансовой системы  сельского поселения характеризуется множественными проблемами. 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Основной,  из которых,  являются отсутствие на территории крупных организаций и предприятий.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    Ежегодное изменение нормативов отчислений и сборов в местный бюджет резко меняет картину объемов собственных доходов и не дает стабильности.</w:t>
      </w:r>
    </w:p>
    <w:p w:rsidR="00131548" w:rsidRPr="0016305C" w:rsidRDefault="00131548" w:rsidP="00131548">
      <w:pPr>
        <w:suppressAutoHyphens w:val="0"/>
        <w:spacing w:after="75" w:line="312" w:lineRule="atLeast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                                                                                                              </w:t>
      </w:r>
    </w:p>
    <w:p w:rsidR="00131548" w:rsidRPr="0016305C" w:rsidRDefault="00131548" w:rsidP="00131548">
      <w:pPr>
        <w:suppressAutoHyphens w:val="0"/>
        <w:spacing w:after="75" w:line="312" w:lineRule="atLeast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Объем доходов  мест</w:t>
      </w:r>
      <w:r w:rsidR="00266E33"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ного бюджета (тыс. руб.) на </w:t>
      </w:r>
      <w:r w:rsidR="00957330"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>2022</w:t>
      </w:r>
      <w:r w:rsidRPr="0016305C">
        <w:rPr>
          <w:rFonts w:ascii="Times New Roman" w:hAnsi="Times New Roman" w:cs="Times New Roman"/>
          <w:b/>
          <w:color w:val="333333"/>
          <w:kern w:val="0"/>
          <w:sz w:val="28"/>
          <w:szCs w:val="28"/>
          <w:lang w:eastAsia="ru-RU"/>
        </w:rPr>
        <w:t xml:space="preserve"> год.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228"/>
        <w:gridCol w:w="1224"/>
        <w:gridCol w:w="1296"/>
        <w:gridCol w:w="1305"/>
        <w:gridCol w:w="33"/>
        <w:gridCol w:w="1399"/>
        <w:gridCol w:w="59"/>
        <w:gridCol w:w="9"/>
      </w:tblGrid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Наименование статей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266E33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 xml:space="preserve">2020 </w:t>
            </w:r>
            <w:r w:rsidR="00131548"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2021</w:t>
            </w:r>
            <w:r w:rsidR="00131548"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2022</w:t>
            </w:r>
            <w:r w:rsidR="00131548"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 xml:space="preserve"> год</w:t>
            </w:r>
          </w:p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(9 месяцев)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05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поступления на конец года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957330" w:rsidP="007968B5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 утвержденному плану  на 2022</w:t>
            </w:r>
            <w:r w:rsidR="00131548" w:rsidRPr="00163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Доходы всего: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266E33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6 420,1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8941,2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4342,8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C25997" w:rsidP="007968B5">
            <w:pPr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6 182,8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562FE5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Собственные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266E33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1 596,8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2 115,1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974,9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C25997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1 831,1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562FE5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266E33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116,8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C25997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562FE5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1 097,8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1 446,5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542,4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1296,0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 xml:space="preserve">Налог, взимаемый  в связи с применением </w:t>
            </w: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lastRenderedPageBreak/>
              <w:t>упрощенной системы налогообложения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lastRenderedPageBreak/>
              <w:t>288,8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238,6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562FE5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100</w:t>
            </w:r>
          </w:p>
        </w:tc>
      </w:tr>
      <w:tr w:rsidR="00131548" w:rsidRPr="0016305C" w:rsidTr="007968B5">
        <w:trPr>
          <w:gridAfter w:val="2"/>
          <w:wAfter w:w="68" w:type="dxa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1 034,2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1 810,0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1 142,6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562FE5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1 655,2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100</w:t>
            </w:r>
          </w:p>
        </w:tc>
      </w:tr>
      <w:tr w:rsidR="00131548" w:rsidRPr="0016305C" w:rsidTr="007968B5"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31548" w:rsidRPr="00163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32</w:t>
            </w:r>
          </w:p>
        </w:tc>
      </w:tr>
      <w:tr w:rsidR="00131548" w:rsidRPr="0016305C" w:rsidTr="007968B5"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562FE5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1 983,6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1 983,6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1 487,7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1 688,9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100</w:t>
            </w:r>
          </w:p>
        </w:tc>
      </w:tr>
      <w:tr w:rsidR="00131548" w:rsidRPr="0016305C" w:rsidTr="007968B5"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 xml:space="preserve">Субсидии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1 691,7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3 002</w:t>
            </w:r>
            <w:r w:rsidR="00131548"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1 460,4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942,6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100</w:t>
            </w:r>
          </w:p>
        </w:tc>
      </w:tr>
      <w:tr w:rsidR="00131548" w:rsidRPr="0016305C" w:rsidTr="007968B5"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7F5EBB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548" w:rsidRPr="0016305C" w:rsidRDefault="00191DE7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1548" w:rsidRPr="0016305C" w:rsidRDefault="00AF3221" w:rsidP="007968B5">
            <w:pPr>
              <w:suppressAutoHyphens w:val="0"/>
              <w:spacing w:after="75" w:line="312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4D71B8" w:rsidP="007968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8" w:rsidRPr="0016305C" w:rsidRDefault="00131548" w:rsidP="007968B5">
            <w:pPr>
              <w:suppressAutoHyphens w:val="0"/>
              <w:rPr>
                <w:rFonts w:ascii="Times New Roman" w:hAnsi="Times New Roman" w:cs="Times New Roman"/>
              </w:rPr>
            </w:pPr>
            <w:r w:rsidRPr="0016305C">
              <w:rPr>
                <w:rFonts w:ascii="Times New Roman" w:hAnsi="Times New Roman" w:cs="Times New Roman"/>
              </w:rPr>
              <w:t>100</w:t>
            </w:r>
          </w:p>
        </w:tc>
      </w:tr>
      <w:tr w:rsidR="00131548" w:rsidRPr="0016305C" w:rsidTr="007968B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7272" w:type="dxa"/>
          <w:wAfter w:w="9" w:type="dxa"/>
          <w:trHeight w:val="100"/>
        </w:trPr>
        <w:tc>
          <w:tcPr>
            <w:tcW w:w="2796" w:type="dxa"/>
            <w:gridSpan w:val="4"/>
            <w:tcBorders>
              <w:top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after="75" w:line="312" w:lineRule="atLeast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131548" w:rsidRPr="0016305C" w:rsidRDefault="00131548" w:rsidP="00131548">
      <w:pPr>
        <w:suppressAutoHyphens w:val="0"/>
        <w:spacing w:after="75" w:line="312" w:lineRule="atLeast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          Основным бюджетообразующим налогом является  земельный налог. Зн</w:t>
      </w:r>
      <w:r w:rsidR="00C25997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ачительная часть доходов  в 2022</w:t>
      </w:r>
      <w:r w:rsidRPr="0016305C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году приходится на средства, полученные в рамках межбюджетных отношений. </w:t>
      </w:r>
    </w:p>
    <w:p w:rsidR="00131548" w:rsidRPr="0016305C" w:rsidRDefault="00131548" w:rsidP="0013154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Доходная часть бюджета сельского поселения</w:t>
      </w:r>
      <w:r w:rsidR="00C2599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при уточненном годовом плане 6 333,3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ты</w:t>
      </w:r>
      <w:r w:rsidR="00C25997">
        <w:rPr>
          <w:rFonts w:ascii="Times New Roman" w:hAnsi="Times New Roman" w:cs="Times New Roman"/>
          <w:kern w:val="0"/>
          <w:sz w:val="28"/>
          <w:szCs w:val="28"/>
          <w:lang w:eastAsia="ru-RU"/>
        </w:rPr>
        <w:t>с. руб.  исполнена в сумме 4342,8,0 тыс. руб.,  что составляет 68,57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% годового плана, в том числе по собс</w:t>
      </w:r>
      <w:r w:rsidR="00C25997">
        <w:rPr>
          <w:rFonts w:ascii="Times New Roman" w:hAnsi="Times New Roman" w:cs="Times New Roman"/>
          <w:kern w:val="0"/>
          <w:sz w:val="28"/>
          <w:szCs w:val="28"/>
          <w:lang w:eastAsia="ru-RU"/>
        </w:rPr>
        <w:t>твенным  доходам при плане 1 981,5 тыс. руб. исполнено 974,9 тыс. руб. или 49,20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%.  Данные средства аккумулируются для исполнения муниципальных программ по благоустройству, содержанию  Михеевского Дома культуры, р</w:t>
      </w:r>
      <w:r w:rsidR="0095733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емонту автомобильных дорог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в населенных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пунктах</w:t>
      </w:r>
      <w:proofErr w:type="gramEnd"/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,  вып</w:t>
      </w:r>
      <w:r w:rsidR="0095733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олнение мероприятий по безопасности жизнедеятельности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и спорту.</w:t>
      </w:r>
    </w:p>
    <w:p w:rsidR="00131548" w:rsidRPr="0016305C" w:rsidRDefault="00131548" w:rsidP="0013154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Основные характеристики исполнение  плановых  бюджетных назначений  по расх</w:t>
      </w:r>
      <w:r w:rsidR="00C25997">
        <w:rPr>
          <w:rFonts w:ascii="Times New Roman" w:hAnsi="Times New Roman" w:cs="Times New Roman"/>
          <w:kern w:val="0"/>
          <w:sz w:val="28"/>
          <w:szCs w:val="28"/>
          <w:lang w:eastAsia="ru-RU"/>
        </w:rPr>
        <w:t>одам  за 9 месяцев  2022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года и структура фактических расходов в функциональном разрезе: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851"/>
        <w:gridCol w:w="1558"/>
        <w:gridCol w:w="1700"/>
        <w:gridCol w:w="1842"/>
      </w:tblGrid>
      <w:tr w:rsidR="00131548" w:rsidRPr="0016305C" w:rsidTr="007968B5">
        <w:trPr>
          <w:cantSplit/>
          <w:trHeight w:val="113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ind w:left="34" w:right="113" w:hanging="1"/>
              <w:jc w:val="center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Код   раздела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C25997" w:rsidP="007968B5">
            <w:pPr>
              <w:suppressAutoHyphens w:val="0"/>
              <w:spacing w:before="24" w:after="0" w:line="240" w:lineRule="auto"/>
              <w:ind w:left="34" w:hanging="1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Утвержденный бюджет на 2022</w:t>
            </w:r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 xml:space="preserve"> год с изменениями, </w:t>
            </w:r>
            <w:proofErr w:type="spellStart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тыс</w:t>
            </w:r>
            <w:proofErr w:type="gramStart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.р</w:t>
            </w:r>
            <w:proofErr w:type="gramEnd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уб</w:t>
            </w:r>
            <w:proofErr w:type="spellEnd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C25997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Исполнение за 9 месяцев  2022</w:t>
            </w:r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 xml:space="preserve">г., </w:t>
            </w:r>
            <w:proofErr w:type="spellStart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тыс</w:t>
            </w:r>
            <w:proofErr w:type="gramStart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.р</w:t>
            </w:r>
            <w:proofErr w:type="gramEnd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уб</w:t>
            </w:r>
            <w:proofErr w:type="spellEnd"/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ind w:left="34" w:hanging="1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Процент исполнения за 9 месяцев</w:t>
            </w:r>
          </w:p>
          <w:p w:rsidR="00131548" w:rsidRPr="0016305C" w:rsidRDefault="00C25997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2022</w:t>
            </w:r>
            <w:r w:rsidR="00131548"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г.</w:t>
            </w:r>
          </w:p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(гр.4/гр.3*100)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b/>
                <w:spacing w:val="2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1 455, 6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816, 4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56,1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22,61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lastRenderedPageBreak/>
              <w:t xml:space="preserve">Национальная безопасность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68</w:t>
            </w:r>
            <w:r w:rsidR="00131548"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2 153 ,2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1 352, 5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62,8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2 627 ,4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1 510, 0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57,4</w:t>
            </w:r>
            <w:r w:rsidR="00131548"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Культура</w:t>
            </w:r>
          </w:p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1 312, 7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733, 1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55,85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50, 3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37, 8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75,15</w:t>
            </w: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</w:t>
            </w:r>
            <w:r w:rsidR="00131548"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131548" w:rsidRPr="0016305C" w:rsidTr="007968B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jc w:val="both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6305C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131548" w:rsidRPr="0016305C" w:rsidTr="007968B5">
        <w:trPr>
          <w:trHeight w:val="39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  <w:r w:rsidRPr="0016305C"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48" w:rsidRPr="0016305C" w:rsidRDefault="00131548" w:rsidP="007968B5">
            <w:pPr>
              <w:suppressAutoHyphens w:val="0"/>
              <w:spacing w:before="24" w:after="0" w:line="240" w:lineRule="auto"/>
              <w:rPr>
                <w:rFonts w:ascii="Times New Roman" w:eastAsiaTheme="minorHAnsi" w:hAnsi="Times New Roman" w:cs="Times New Roman"/>
                <w:spacing w:val="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548" w:rsidRPr="0016305C" w:rsidRDefault="00131548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7 752, 3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4 464, 5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548" w:rsidRPr="0016305C" w:rsidRDefault="00E61F06" w:rsidP="007968B5">
            <w:pPr>
              <w:suppressAutoHyphens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57,59</w:t>
            </w:r>
            <w:bookmarkStart w:id="0" w:name="_GoBack"/>
            <w:bookmarkEnd w:id="0"/>
          </w:p>
        </w:tc>
      </w:tr>
    </w:tbl>
    <w:p w:rsidR="00131548" w:rsidRPr="0016305C" w:rsidRDefault="00131548" w:rsidP="00131548">
      <w:pPr>
        <w:shd w:val="clear" w:color="auto" w:fill="FFFFFF"/>
        <w:suppressAutoHyphens w:val="0"/>
        <w:spacing w:before="24" w:after="24" w:line="360" w:lineRule="auto"/>
        <w:rPr>
          <w:rFonts w:ascii="Times New Roman" w:eastAsiaTheme="minorHAnsi" w:hAnsi="Times New Roman" w:cs="Times New Roman"/>
          <w:color w:val="332E2D"/>
          <w:spacing w:val="2"/>
          <w:kern w:val="0"/>
          <w:sz w:val="28"/>
          <w:szCs w:val="28"/>
          <w:lang w:eastAsia="en-US"/>
        </w:rPr>
      </w:pPr>
      <w:r w:rsidRPr="0016305C">
        <w:rPr>
          <w:rFonts w:ascii="Times New Roman" w:eastAsiaTheme="minorHAnsi" w:hAnsi="Times New Roman" w:cs="Times New Roman"/>
          <w:spacing w:val="2"/>
          <w:kern w:val="0"/>
          <w:sz w:val="28"/>
          <w:szCs w:val="28"/>
          <w:lang w:eastAsia="en-US"/>
        </w:rPr>
        <w:t xml:space="preserve">               </w:t>
      </w:r>
    </w:p>
    <w:p w:rsidR="00131548" w:rsidRPr="0016305C" w:rsidRDefault="00131548" w:rsidP="00131548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 предвари</w:t>
      </w:r>
      <w:r w:rsidR="0095733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тельной оценке по итогам за 2022</w:t>
      </w: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год ожидается исполнение бюджета по доходам и расходам бюджета сельского поселения  на уровне 90-100% от плановых назначений. </w:t>
      </w:r>
    </w:p>
    <w:p w:rsidR="00131548" w:rsidRPr="0016305C" w:rsidRDefault="00131548" w:rsidP="0013154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Вместе с тем, на сегодняшний день остается ряд нерешенных проблем, требующих особого внимания.</w:t>
      </w:r>
    </w:p>
    <w:p w:rsidR="00131548" w:rsidRPr="0016305C" w:rsidRDefault="00131548" w:rsidP="0013154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Таковы </w:t>
      </w:r>
      <w:r w:rsidRPr="0016305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основные предварительные  итоги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социально-экономич</w:t>
      </w:r>
      <w:r w:rsidR="00957330">
        <w:rPr>
          <w:rFonts w:ascii="Times New Roman" w:hAnsi="Times New Roman" w:cs="Times New Roman"/>
          <w:kern w:val="0"/>
          <w:sz w:val="28"/>
          <w:szCs w:val="28"/>
          <w:lang w:eastAsia="ru-RU"/>
        </w:rPr>
        <w:t>еского развития поселения в 2022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году. Главным результатом уходящего года стало закрепление положительной динамики развития поселения и улучшения качества жизни населения сельского поселения «Деревня Михеево».</w:t>
      </w:r>
    </w:p>
    <w:p w:rsidR="00131548" w:rsidRPr="0016305C" w:rsidRDefault="00131548" w:rsidP="00131548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Приоритетными направлениями и стратегически</w:t>
      </w:r>
      <w:r w:rsidR="00957330">
        <w:rPr>
          <w:rFonts w:ascii="Times New Roman" w:hAnsi="Times New Roman" w:cs="Times New Roman"/>
          <w:kern w:val="0"/>
          <w:sz w:val="28"/>
          <w:szCs w:val="28"/>
          <w:lang w:eastAsia="ru-RU"/>
        </w:rPr>
        <w:t>ми ориентирами поселения на 2023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год, как и в предыдущие годы,  является: </w:t>
      </w:r>
    </w:p>
    <w:p w:rsidR="00131548" w:rsidRPr="0016305C" w:rsidRDefault="00131548" w:rsidP="00131548">
      <w:pPr>
        <w:shd w:val="clear" w:color="auto" w:fill="FFFFFF"/>
        <w:tabs>
          <w:tab w:val="left" w:pos="112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           1)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увеличение поступлений доходов в бюджет за счет осуществления </w:t>
      </w:r>
      <w:r w:rsidRPr="001630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мер по дальнейшему совершенствованию и усилению администрирования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доходов;</w:t>
      </w:r>
    </w:p>
    <w:p w:rsidR="00131548" w:rsidRPr="0016305C" w:rsidRDefault="00131548" w:rsidP="00131548">
      <w:pPr>
        <w:shd w:val="clear" w:color="auto" w:fill="FFFFFF"/>
        <w:tabs>
          <w:tab w:val="left" w:pos="1234"/>
        </w:tabs>
        <w:suppressAutoHyphens w:val="0"/>
        <w:spacing w:after="0" w:line="360" w:lineRule="auto"/>
        <w:ind w:firstLine="71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spacing w:val="-18"/>
          <w:kern w:val="0"/>
          <w:sz w:val="28"/>
          <w:szCs w:val="28"/>
          <w:lang w:eastAsia="ru-RU"/>
        </w:rPr>
        <w:t>2)  п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родолжение работы по повышению собираемости налоговых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1630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доходов на территории муниципального образования, в первую очередь по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бюджетообразующим налогам, за счет: выявления неоформленных объектов собственности;</w:t>
      </w:r>
    </w:p>
    <w:p w:rsidR="00131548" w:rsidRPr="0016305C" w:rsidRDefault="00131548" w:rsidP="00131548">
      <w:pPr>
        <w:shd w:val="clear" w:color="auto" w:fill="FFFFFF"/>
        <w:tabs>
          <w:tab w:val="left" w:pos="1277"/>
        </w:tabs>
        <w:suppressAutoHyphens w:val="0"/>
        <w:spacing w:after="0" w:line="360" w:lineRule="auto"/>
        <w:ind w:firstLine="71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3)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проведение системной адресной работы с физическими лицами, допускающими налоговую задолженность;</w:t>
      </w:r>
    </w:p>
    <w:p w:rsidR="00131548" w:rsidRPr="0016305C" w:rsidRDefault="00131548" w:rsidP="00131548">
      <w:pPr>
        <w:shd w:val="clear" w:color="auto" w:fill="FFFFFF"/>
        <w:tabs>
          <w:tab w:val="left" w:pos="1138"/>
        </w:tabs>
        <w:suppressAutoHyphens w:val="0"/>
        <w:spacing w:after="0" w:line="360" w:lineRule="auto"/>
        <w:ind w:firstLine="71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spacing w:val="-13"/>
          <w:kern w:val="0"/>
          <w:sz w:val="28"/>
          <w:szCs w:val="28"/>
          <w:lang w:eastAsia="ru-RU"/>
        </w:rPr>
        <w:lastRenderedPageBreak/>
        <w:t xml:space="preserve">4) </w:t>
      </w:r>
      <w:r w:rsidRPr="001630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активизация работы, направленной на повышение эффективности </w:t>
      </w: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налогообложения земель и дальнейшую актуализацию налогооблагаемой базы, увеличение поступлений по земельному налогу, усилие и взаимодействия органов местного самоуправления в целях наполнения местного бюджета;</w:t>
      </w:r>
    </w:p>
    <w:p w:rsidR="00131548" w:rsidRPr="0016305C" w:rsidRDefault="00131548" w:rsidP="00131548">
      <w:pPr>
        <w:shd w:val="clear" w:color="auto" w:fill="FFFFFF"/>
        <w:tabs>
          <w:tab w:val="left" w:pos="1138"/>
        </w:tabs>
        <w:suppressAutoHyphens w:val="0"/>
        <w:spacing w:after="0" w:line="360" w:lineRule="auto"/>
        <w:ind w:firstLine="71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>5) благоустройство населенных пунктов.</w:t>
      </w:r>
    </w:p>
    <w:p w:rsidR="00131548" w:rsidRPr="0016305C" w:rsidRDefault="00131548" w:rsidP="00131548">
      <w:pPr>
        <w:shd w:val="clear" w:color="auto" w:fill="FFFFFF"/>
        <w:tabs>
          <w:tab w:val="left" w:pos="1138"/>
        </w:tabs>
        <w:suppressAutoHyphens w:val="0"/>
        <w:spacing w:after="0" w:line="360" w:lineRule="auto"/>
        <w:ind w:firstLine="71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630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Цель нашей работы – рост благосостояния жителей нашего поселения. И от того, как мы слаженно будем работать совместно с депутатским корпусом сельского поселения, во многом будет зависеть выполнение поставленных задач. Совместными усилиями  уже многое сделано, но </w:t>
      </w:r>
    </w:p>
    <w:p w:rsidR="00131548" w:rsidRPr="0016305C" w:rsidRDefault="00131548" w:rsidP="00131548">
      <w:pPr>
        <w:shd w:val="clear" w:color="auto" w:fill="FFFFFF"/>
        <w:tabs>
          <w:tab w:val="left" w:pos="1138"/>
        </w:tabs>
        <w:suppressAutoHyphens w:val="0"/>
        <w:spacing w:after="0" w:line="360" w:lineRule="auto"/>
        <w:ind w:firstLine="71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shd w:val="clear" w:color="auto" w:fill="FFFFFF"/>
        <w:tabs>
          <w:tab w:val="left" w:pos="1138"/>
        </w:tabs>
        <w:suppressAutoHyphens w:val="0"/>
        <w:spacing w:after="0" w:line="360" w:lineRule="auto"/>
        <w:ind w:firstLine="71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31548" w:rsidRPr="0016305C" w:rsidRDefault="00131548" w:rsidP="00131548">
      <w:pPr>
        <w:suppressAutoHyphens w:val="0"/>
        <w:rPr>
          <w:rFonts w:ascii="Times New Roman" w:eastAsiaTheme="minorHAnsi" w:hAnsi="Times New Roman" w:cs="Times New Roman"/>
          <w:kern w:val="0"/>
          <w:lang w:eastAsia="en-US"/>
        </w:rPr>
      </w:pPr>
    </w:p>
    <w:p w:rsidR="00131548" w:rsidRPr="0016305C" w:rsidRDefault="00131548" w:rsidP="00131548">
      <w:pPr>
        <w:spacing w:after="0"/>
        <w:rPr>
          <w:rFonts w:ascii="Times New Roman" w:hAnsi="Times New Roman" w:cs="Times New Roman"/>
        </w:rPr>
      </w:pPr>
    </w:p>
    <w:p w:rsidR="00B77FAD" w:rsidRDefault="00B77FAD"/>
    <w:sectPr w:rsidR="00B7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1B57"/>
    <w:multiLevelType w:val="hybridMultilevel"/>
    <w:tmpl w:val="D62CD196"/>
    <w:lvl w:ilvl="0" w:tplc="6D3C2B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2F54E74"/>
    <w:multiLevelType w:val="hybridMultilevel"/>
    <w:tmpl w:val="B322A10A"/>
    <w:lvl w:ilvl="0" w:tplc="7F72B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8"/>
    <w:rsid w:val="00131548"/>
    <w:rsid w:val="001662DB"/>
    <w:rsid w:val="00191DE7"/>
    <w:rsid w:val="00266E33"/>
    <w:rsid w:val="004D71B8"/>
    <w:rsid w:val="005078C4"/>
    <w:rsid w:val="00562FE5"/>
    <w:rsid w:val="005C717E"/>
    <w:rsid w:val="00614029"/>
    <w:rsid w:val="00633EE3"/>
    <w:rsid w:val="007F5EBB"/>
    <w:rsid w:val="00937F50"/>
    <w:rsid w:val="00957330"/>
    <w:rsid w:val="00AF3221"/>
    <w:rsid w:val="00B77FAD"/>
    <w:rsid w:val="00B87BD0"/>
    <w:rsid w:val="00C25997"/>
    <w:rsid w:val="00E5583E"/>
    <w:rsid w:val="00E61F06"/>
    <w:rsid w:val="00E949DC"/>
    <w:rsid w:val="00E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48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D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48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D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2022-10-31T10:04:00Z</cp:lastPrinted>
  <dcterms:created xsi:type="dcterms:W3CDTF">2022-10-13T07:43:00Z</dcterms:created>
  <dcterms:modified xsi:type="dcterms:W3CDTF">2022-10-31T10:09:00Z</dcterms:modified>
</cp:coreProperties>
</file>