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80" w:rsidRPr="00A12B80" w:rsidRDefault="00A12B80" w:rsidP="00A1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A12B80" w:rsidRPr="00A12B80" w:rsidRDefault="00A12B80" w:rsidP="00A12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AE02E6" wp14:editId="6DB21B5A">
                <wp:simplePos x="0" y="0"/>
                <wp:positionH relativeFrom="column">
                  <wp:posOffset>1568450</wp:posOffset>
                </wp:positionH>
                <wp:positionV relativeFrom="paragraph">
                  <wp:posOffset>101600</wp:posOffset>
                </wp:positionV>
                <wp:extent cx="3259455" cy="1368425"/>
                <wp:effectExtent l="0" t="0" r="0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АДМИНИСТРАЦИЯ</w:t>
                            </w: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СЕЛЬСКОГО ПОСЕЛЕНИЯ</w:t>
                            </w: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«ДЕРЕВНЯ МИХЕЕВО»</w:t>
                            </w: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МЕДЫНСКОГО РАЙОНА</w:t>
                            </w: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</w:rPr>
                            </w:pP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КАЛУЖСКОЙ ОБЛАСТИ</w:t>
                            </w:r>
                          </w:p>
                          <w:p w:rsidR="00A12B80" w:rsidRPr="00A12B80" w:rsidRDefault="00A12B80" w:rsidP="00A12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12B80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A12B80" w:rsidRPr="00B15FF9" w:rsidRDefault="00A12B80" w:rsidP="00A12B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A12B80" w:rsidRDefault="00A12B80" w:rsidP="00A12B80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23.5pt;margin-top:8pt;width:256.65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" o:allowincell="f" stroked="f">
                <v:textbox>
                  <w:txbxContent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24"/>
                        </w:rPr>
                        <w:t>АДМИНИСТРАЦИЯ</w:t>
                      </w: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24"/>
                        </w:rPr>
                        <w:t>СЕЛЬСКОГО ПОСЕЛЕНИЯ</w:t>
                      </w: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24"/>
                        </w:rPr>
                        <w:t>«ДЕРЕВНЯ МИХЕЕВО»</w:t>
                      </w: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24"/>
                        </w:rPr>
                        <w:t>МЕДЫНСКОГО РАЙОНА</w:t>
                      </w: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</w:rPr>
                      </w:pP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24"/>
                        </w:rPr>
                        <w:t>КАЛУЖСКОЙ ОБЛАСТИ</w:t>
                      </w:r>
                    </w:p>
                    <w:p w:rsidR="00A12B80" w:rsidRPr="00A12B80" w:rsidRDefault="00A12B80" w:rsidP="00A12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A12B80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A12B80" w:rsidRPr="00B15FF9" w:rsidRDefault="00A12B80" w:rsidP="00A12B8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A12B80" w:rsidRDefault="00A12B80" w:rsidP="00A12B80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05 февраля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№7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    утверждении     методики   расчета    компенсационной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стоимости     зеленых      насаждений,    газонов,    цветников,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proofErr w:type="gramEnd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 территории муниципального образования 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Михеево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  величины     одной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условной    единицы    одного  зеленого насаждения  и 1 кв. м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газона,  цветника,   </w:t>
      </w:r>
      <w:proofErr w:type="gramStart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</w:t>
      </w:r>
      <w:proofErr w:type="gramEnd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ставок   платы за единицу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площади    лесного    участка, находящегося  в собственности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 образования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Деревня Михеево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 положения  о  комиссии по обследованию зеленых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насаждений,  состава   комиссии   по  обследованию   зеленых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насаждений и формы акта обследования зеленых насаждений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 Федеральным  законом «Об общих принципах организации местного самоуправления в Российской Федерации» от 06 октября 2003 года  № 131-ФЗ, 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 городского 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ст. 37.1 Устава муниципального образования «Медынский район», Правилами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сельского 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сельского поселения 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ПОСТАНОВЛЯЕТ: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Утвердить Методику расчета компенсационной стоимости зеленых насаждений, газонов, цветников, находящихся на территории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сельского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Методика) (приложение 1).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Установить величину одной условной единицы одного зеленого насаждения и 1 кв. м газона, цветника, применяемой в Ме</w:t>
      </w:r>
      <w:r w:rsidR="00173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тодике, равной 20 (двадцати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рублям.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Утвердить Положение о комиссии по обследованию зеленых насаждений (приложение 2) и состав комиссии по обследованию зеленых насаждений (приложение 3).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Утвердить форму акта обследования зеленых насаждений (приложение 4).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Настоящее Решение вступает в силу после его официального опубликования.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администрации </w:t>
      </w: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«Деревня Михеево</w:t>
      </w: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С.В. Яковлева</w:t>
      </w:r>
    </w:p>
    <w:p w:rsid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80" w:rsidRPr="00A12B80" w:rsidRDefault="00A12B80" w:rsidP="00A12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 </w:t>
      </w:r>
    </w:p>
    <w:p w:rsidR="00A12B80" w:rsidRPr="00A12B80" w:rsidRDefault="009556E7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80" w:rsidRPr="00A12B80" w:rsidRDefault="009556E7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"/>
      <w:bookmarkEnd w:id="0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 КОМПЕНСАЦИОННОЙ СТОИМОСТИ ЗЕЛЕНЫХ НАСАЖДЕНИЙ,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ГАЗОНОВ,  ЦВЕТНИКОВ, НАХОДЯЩИХСЯ НА ТЕРРИТОРИИ МУНИЦИПАЛЬНОГО  ОБРАЗОВАНИЯ </w:t>
      </w:r>
    </w:p>
    <w:p w:rsidR="00A12B80" w:rsidRPr="00A12B80" w:rsidRDefault="009556E7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 ПОСЕЛЕНИЯ</w:t>
      </w:r>
      <w:r w:rsidR="00A12B80"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 МИХЕЕВО</w:t>
      </w:r>
      <w:r w:rsidR="00A12B80"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12B80" w:rsidRPr="00A12B80" w:rsidRDefault="00A12B80" w:rsidP="00A12B8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Методика расчета компенсационной стоимости зеленых насаждений, газонов, цветников, находящихся на территории муниципального образования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Методика), предназначена для вычисления размера платежей, подлежащих внесению в бюджет муниципального образования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 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следующих случаях: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определении размера компенсационной стоимости зеленых насаждений, газонов, цветников за санкционированную вырубку зеленых насаждений, повреждение, уничтожение газонов, цветников;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определении размера компенсационной стоимости за несанкционированную вырубку зеленых насаждений, повреждение, уничтожение газонов, цветников.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не распространяется на санитарную, аварийную вырубку, а также вырубку зеленых насаждений, высаженных с нарушением действующих норм.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зеленых насаждений, газонов, цветников (далее - компенсационная стоимость) рассчитывается с применением коэффициентов, учитывающих ценность зеленых насаждений, газонов, цветников.</w:t>
      </w:r>
      <w:proofErr w:type="gramEnd"/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Порядок определения компенсационной стоимости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санкционированную вырубку зеленых насаждений,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повреждение, уничтожение газонов, цветников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3"/>
      <w:bookmarkEnd w:id="1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 компенсационной стоимости деревьев производится в рублях за каждое дерево путем умножения одной условной единицы одного зеленого насаждения и 1 кв. м газона, цветника (далее - Одна условная единица) на </w:t>
      </w:r>
      <w:hyperlink w:anchor="P107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коэффициент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приведенный в таблице N 1 к настоящей Методике, соответствующий породе дерева и диаметру ствола на высоте 1,3 метра от корневой шейки дерева.</w:t>
      </w:r>
      <w:proofErr w:type="gramEnd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диаметре ствола дерева больше 40 см </w:t>
      </w:r>
      <w:hyperlink w:anchor="P107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коэффициен</w:t>
        </w:r>
        <w:r w:rsidRPr="00A12B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последнем столбце таблицы N 1 к настоящей Методике следует умножать на коэффициент 1,25 на каждые полные 10 см диаметра ствола свыше 40 см.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диаметра ствола дерева и отнесение дерева к той или иной породе определяется комиссией по обследованию зеленых насаждений (далее - Комиссия). Если дерево имеет несколько стволов, то в расчете компенсационной стоимости учитывается каждый ствол отдельно.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Заросли самосевных деревьев или деревьев порослевого происхождения, образующих единый сомкнутый полог, рассчитываются следующим образом: каждые 100 кв. м земельного участка, занятого пологом, приравниваются к 20 деревьям диаметром до 12 см включительно.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Расчет компенсационной стоимости кустарников производится в рублях за ка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кустарник путем умножения 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условной единицы на </w:t>
      </w:r>
      <w:hyperlink w:anchor="P171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коэффициент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приведенный в таблице N 2 к настоящей Методике, соответствующий возрасту и декоративной группе кустарника.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возраста кустарника и отнесение кустарника к той или иной декоративной группе определяется Комиссией.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8"/>
      <w:bookmarkEnd w:id="2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Расчет компенсационной стоимости 1 кв. м газона, цветника производится в рублях за 1 кв. м га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зона, цветника путем умножения 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условной единицы на </w:t>
      </w:r>
      <w:hyperlink w:anchor="P209" w:history="1">
        <w:r w:rsidRPr="00A12B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коэффициент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приведенный в таблице N 3 к настоящей Методике.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газона к той или иной категории определяется Комиссией.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Компенсационная стоимость зеленых насаждений, газонов, цветников, расположенных в границах особо охраняемых природных территорий местного значения, определяется путем умножения суммы, рассчитанной в соответствии с </w:t>
      </w:r>
      <w:hyperlink w:anchor="P73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1.1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78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Методики, на коэффициент 3,0.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1"/>
      <w:bookmarkEnd w:id="3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Компенсационная стоимость зеленых насаждений, газонов, цветников лесопарков определяется путем умножения суммы, рассчитанной в соответствии с </w:t>
      </w:r>
      <w:hyperlink w:anchor="P73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1.1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78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Методики, на коэффициент 0,5.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получения разрешения на вырубку зеленых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насаждений, повреждение, уничтожение газонов, цветников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6"/>
      <w:bookmarkEnd w:id="4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получения разрешения на вырубку зеленых насаждений, повреждение, уничтожение газонов, цветников заявитель подает в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сельского поселения 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Администрация) в письменной форме заявление. К заявлению прилагаются: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земельного участка с указанием зеленых насаждений, подлежащих вырубке, или участков газонов, цветников, подлежащих повреждению, уничтожению;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производства вырубки при осуществлении строительства, реконструкции и ремонта зданий, строений и сооружений, в том числе инженерных коммуникаций,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</w:t>
      </w:r>
      <w:proofErr w:type="gramEnd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участок, а также утвержденная градостроительная документация.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компенсационной стоимости за вырубку зеленых насаждений, повреждение, уничтожение газонов, цветников рассчитывается в соответствии с настоящей Методикой на основании акта обследования зеленых насаждений. Обследование зеленых насаждений, указанных в заявлении, а также составление акта обследования зеленых насаждений производится Комиссией в течение 15 рабочих дней с момента регистрации заявления.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Комиссией акта обследования зеленых насаждений одним из членов Комиссии в течение 5 рабочих дней составляется расчет компенсационной стоимости зеленых насаждений, газонов, цветников, который подписывается председателем Комиссии, а в случае его отсутствия - заместителем председателя Комиссии, и направляется заявителю.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имеет право отказать в рассмотрении заявления на вырубку зеленых насаждений, повреждение, уничтожение газонов, цветников в случае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заявителем неполного пакета документов, указанного в </w:t>
      </w:r>
      <w:hyperlink w:anchor="P86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Методики, а также вправе отказать в подготовке проекта порубочного билета и (или)  разрешения  на  вырубку зеленых насаждений, повреждение, уничтожение газонов, цветников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если отсутствуют нарушения санитарных, строительных и</w:t>
      </w:r>
      <w:proofErr w:type="gramEnd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норм и заявитель не является правообладателем земельного участка, предназначенного для строительства, реконструкции и ремонта здания, строения, сооружения.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компенсационной стоимости производится заявителем в течение 5 рабочих дней с момента получения заявителем расчета компенсационной стоимости зеленых насаждений, газонов, цветников.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 момента представления в Администрацию  заявителем копии платежного документа об оплате компенсационной стоимости Администрация готовит проект постановления Администрации</w:t>
      </w:r>
      <w:r w:rsidRPr="00A12B80">
        <w:rPr>
          <w:rFonts w:ascii="Calibri" w:eastAsia="Times New Roman" w:hAnsi="Calibri" w:cs="Calibri"/>
          <w:szCs w:val="20"/>
          <w:lang w:eastAsia="ru-RU"/>
        </w:rPr>
        <w:t xml:space="preserve"> о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 на  вырубку зеленых насаждений, повреждение, уничтожение газоно</w:t>
      </w:r>
      <w:r w:rsidR="009556E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цветников на территории сельского 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Средства, получаемые от оплаты компенсационной стоимости, зачисляются в бюджет муниципального образования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компенсационной стоимости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несанкционированную вырубку зеленых насаждений,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повреждение, уничтожение газонов, цветников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компенсационной стоимости зеленых насаждений, газонов, цветников, поврежденных или уничтоженных без полученного в установленном порядке разрешения на вырубку зеленых насаждений, повреждение, уничтожение газонов, цветников, определяется путем умножения суммы, рассчитанной в соответствии с </w:t>
      </w:r>
      <w:hyperlink w:anchor="P73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1.1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w:anchor="P81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1.5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Методики, на коэффициент 3,0 (при вырубке зеленых насаждений, повреждении, уничтожении газонов, цветников до степени прекращения роста) или на коэффициент 0,5 (при вырубке зеленых насаждений</w:t>
      </w:r>
      <w:proofErr w:type="gramEnd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</w:t>
      </w:r>
      <w:proofErr w:type="gramEnd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уничтожении газонов, цветников не до степени прекращения роста).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уничтожения дерева без получения в установленном порядке разрешения на вырубку зеленых насаждений, повреждения, уничтожения газонов, цветников диаметр ствола дерева определяется у корневой шейки.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повреждения зеленых насаждений, газонов, цветников, определяется Комиссией.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107"/>
      <w:bookmarkEnd w:id="5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для расчета компенсационной стоимости деревьев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9"/>
        <w:gridCol w:w="1077"/>
        <w:gridCol w:w="1077"/>
        <w:gridCol w:w="1077"/>
        <w:gridCol w:w="1077"/>
      </w:tblGrid>
      <w:tr w:rsidR="00A12B80" w:rsidRPr="00A12B80" w:rsidTr="006451A7">
        <w:tc>
          <w:tcPr>
            <w:tcW w:w="454" w:type="dxa"/>
            <w:vMerge w:val="restart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309" w:type="dxa"/>
            <w:vMerge w:val="restart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пород деревьев</w:t>
            </w:r>
          </w:p>
        </w:tc>
        <w:tc>
          <w:tcPr>
            <w:tcW w:w="4308" w:type="dxa"/>
            <w:gridSpan w:val="4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К</w:t>
            </w:r>
            <w:proofErr w:type="gramStart"/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A12B80" w:rsidRPr="00A12B80" w:rsidTr="006451A7">
        <w:tc>
          <w:tcPr>
            <w:tcW w:w="454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4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на высоте 1,3 м </w:t>
            </w:r>
            <w:hyperlink w:anchor="P167" w:history="1">
              <w:r w:rsidRPr="00A12B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A12B80" w:rsidRPr="00A12B80" w:rsidTr="006451A7">
        <w:tc>
          <w:tcPr>
            <w:tcW w:w="454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см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до 20 см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28 см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до 40 см включительно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Дуб, липа, клен остролистный, клен белый, каштан, бук, яблоня, береза, граб, ясень, орех маньчжурский, вяз, тополь пирамидальный, тополь бальзамический, тополь белый, плодовые деревья</w:t>
            </w:r>
            <w:proofErr w:type="gramEnd"/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Ива, тополь обыкновенный, клен </w:t>
            </w:r>
            <w:proofErr w:type="spellStart"/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ольха, рябина, осина, черемуха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обыкновенная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колючая (голубая), кедр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Пихта сибирская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обыкновенная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 сибирская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67"/>
      <w:bookmarkEnd w:id="6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уничтожения дерева без получения в установленном порядке разрешения на вырубку зеленых насаждений, повреждения, уничтожения газонов, цветников диаметр ствола дерева определяется у корневой шейки.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2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171"/>
      <w:bookmarkEnd w:id="7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для расчета компенсационной стоимости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кустарников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9"/>
        <w:gridCol w:w="1077"/>
        <w:gridCol w:w="1077"/>
        <w:gridCol w:w="1077"/>
        <w:gridCol w:w="1077"/>
      </w:tblGrid>
      <w:tr w:rsidR="00A12B80" w:rsidRPr="00A12B80" w:rsidTr="006451A7">
        <w:tc>
          <w:tcPr>
            <w:tcW w:w="454" w:type="dxa"/>
            <w:vMerge w:val="restart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309" w:type="dxa"/>
            <w:vMerge w:val="restart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группа кустарников</w:t>
            </w:r>
          </w:p>
        </w:tc>
        <w:tc>
          <w:tcPr>
            <w:tcW w:w="4308" w:type="dxa"/>
            <w:gridSpan w:val="4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К</w:t>
            </w:r>
            <w:proofErr w:type="gramStart"/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12B80" w:rsidRPr="00A12B80" w:rsidTr="006451A7">
        <w:tc>
          <w:tcPr>
            <w:tcW w:w="454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4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кустарников</w:t>
            </w:r>
          </w:p>
        </w:tc>
      </w:tr>
      <w:tr w:rsidR="00A12B80" w:rsidRPr="00A12B80" w:rsidTr="006451A7">
        <w:tc>
          <w:tcPr>
            <w:tcW w:w="454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A12B80" w:rsidRPr="00A12B80" w:rsidRDefault="00A12B80" w:rsidP="00A1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 включительно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Декоративно-лиственные кустарники, полукустарники, лианы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 кустарники и лианы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Вечнозеленые и хвойные кустарники, карликовые хвойные растения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Экзотические реликтовые растения, </w:t>
            </w: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привитые формы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3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209"/>
      <w:bookmarkEnd w:id="8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для расчета компенсационной стоимости газонов,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цветников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1984"/>
      </w:tblGrid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1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газонов, цветники</w:t>
            </w:r>
          </w:p>
        </w:tc>
        <w:tc>
          <w:tcPr>
            <w:tcW w:w="198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К3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 и рулонные газоны</w:t>
            </w:r>
          </w:p>
        </w:tc>
        <w:tc>
          <w:tcPr>
            <w:tcW w:w="198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газоны</w:t>
            </w:r>
          </w:p>
        </w:tc>
        <w:tc>
          <w:tcPr>
            <w:tcW w:w="198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Луговые газоны и газоны естественного происхождения</w:t>
            </w:r>
          </w:p>
        </w:tc>
        <w:tc>
          <w:tcPr>
            <w:tcW w:w="198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B80" w:rsidRPr="00A12B80" w:rsidTr="006451A7">
        <w:tc>
          <w:tcPr>
            <w:tcW w:w="45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1984" w:type="dxa"/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 </w:t>
      </w:r>
    </w:p>
    <w:p w:rsidR="00A12B80" w:rsidRPr="00A12B80" w:rsidRDefault="003331A6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12B80" w:rsidRPr="00A12B80" w:rsidRDefault="003331A6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2B80" w:rsidRPr="00A12B80" w:rsidRDefault="00A31113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05.02.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239"/>
      <w:bookmarkEnd w:id="9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ОБСЛЕДОВАНИЮ ЗЕЛЕНЫХ НАСАЖДЕНИЙ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по обследованию зеленых насаждений (далее по тексту - Комиссия) является органом, осуществляющим всестороннее, полное и объективное обследование зеленых насаждений, газонов, цветников, расположенных на территории муниципального образования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своей деятельности Комиссия руководствуется </w:t>
      </w:r>
      <w:hyperlink r:id="rId5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федеральными конституционными законами, федеральными законами, указами и распоряжениями Президента Российской Федерации, </w:t>
      </w:r>
      <w:hyperlink r:id="rId6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области, законами и нормативными актами Калужской области, </w:t>
      </w:r>
      <w:hyperlink r:id="rId7" w:history="1">
        <w:r w:rsidRPr="00A12B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Михеево», правовыми актами сельской Думы сель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 также настоящим Положением.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предложений о целесообразности и возможности вырубки зеленых насаждений, повреждения, уничтожения газонов, цветников;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состояния зеленых насаждений, газонов, цветников для проведения расчетов компенсационной стоимости зеленых насаждений, газонов, цветников (далее по тексту - компенсационная стоимость).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осуществляет следующие функции: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заявления, а также прилагаемые к нему документы граждан, юридических лиц для определения возможности и целесообразности проведения работ по вырубке зеленых насаждений, повреждению или уничтожению газонов, цветников;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обследует территории, занятые зелеными насаждениями, газонами, цветниками, указанными в заявлениях;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видовой состав и диаметр деревьев, декоративную группу и возраст кустарников, подлежащих вырубке; категорию газонов, цветников, подлежащих повреждению или уничтожению;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степень повреждения, уничтожения зеленых насаждений, газонов, цветников, поврежденных или уничтоженных без полученного в установленном порядке разрешения;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акт обследования зеленых насаждений;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 расчет компенсационной стоимости.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Комиссия в соответствии с возложенными на нее задачами и выполняемыми функциями имеет право: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на обследование зеленых насаждений, газонов, цветников граждан,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лиц, по заявлениям которых обследуются зеленые насаждения, газоны, цветники, а также иных заинтересованных лиц;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(в случае необходимости) представителей организаций, обслуживающих инженерные сети, жилищно-эксплуатационных служб, других специалистов;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органами государственной власти, органами местного самоуправления, общественными объединениями, гражданами по вопросам, относящимся к компетенции Комиссии.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Обязанности Комиссии: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действующее законодательство Российской Федерации;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настоящим Положением обследовать зеленые насаждения, газоны, цветники;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результаты обследований зеленых насаждений, газонов, цветников в виде актов обследования зеленых насаждений;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заявителю акт обследования зеленых насаждений и расчет компенсационной стоимости.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Комиссии у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тверждается правовым акто</w:t>
      </w:r>
      <w:r w:rsidR="00A305F5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  <w:r w:rsidR="00333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Комиссию возглавляет председатель, который руководит деятельностью Комиссии и который несет ответственность за исполнение возложенных на Комиссию обязанностей.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председателя Комиссии Комиссию возглавляет заместитель председателя Комиссии.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Заседания Комиссии проводятся по мере необходимости.</w:t>
      </w:r>
    </w:p>
    <w:p w:rsidR="00A12B80" w:rsidRPr="00A12B80" w:rsidRDefault="00A12B80" w:rsidP="00A12B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Члены Комиссии участвуют в ее заседаниях без права замены. Заседание Комиссии считается правомочным, если на нем присутствует большинство членов комиссии.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 </w:t>
      </w:r>
    </w:p>
    <w:p w:rsidR="00A12B80" w:rsidRPr="00A12B80" w:rsidRDefault="00A305F5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12B80" w:rsidRPr="00A12B80" w:rsidRDefault="00A305F5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</w:t>
      </w:r>
      <w:r w:rsidR="00A3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285"/>
      <w:bookmarkEnd w:id="10"/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ОБСЛЕДОВАНИЮ ЗЕЛЕНЫХ НАСАЖДЕНИЙ</w:t>
      </w:r>
    </w:p>
    <w:p w:rsidR="00A12B80" w:rsidRPr="00A12B80" w:rsidRDefault="00A12B80" w:rsidP="00A12B8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3331A6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Светлана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адми</w:t>
            </w:r>
            <w:r w:rsidR="0033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 сельского поселения «Деревня Михеево</w:t>
            </w: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председатель комиссии;</w:t>
            </w: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3331A6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Двухшерстнова Наталья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</w:t>
            </w:r>
            <w:r w:rsidR="00A3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сельского поселения  «Деревня Михеево</w:t>
            </w: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заместитель председателя комиссии;</w:t>
            </w: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</w:p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отделом  архитектуры  администрации муниципального района «Медынский район»</w:t>
            </w: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305F5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сельской Думы сельского поселения «Деревня Михеево»</w:t>
            </w: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305F5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Лариса Васильевна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305F5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сель</w:t>
            </w:r>
            <w:r w:rsidR="00A12B80"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Думы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Михеево</w:t>
            </w:r>
            <w:r w:rsidR="00A12B80" w:rsidRPr="00A1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A12B80" w:rsidRPr="00A12B80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</w:tc>
      </w:tr>
      <w:tr w:rsidR="00A12B80" w:rsidRPr="00A12B80" w:rsidTr="006451A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12B80" w:rsidRPr="00A12B80" w:rsidRDefault="00A12B80" w:rsidP="00A12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AB" w:rsidRDefault="006563AB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AB" w:rsidRPr="00A12B80" w:rsidRDefault="006563AB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администрации  </w:t>
      </w:r>
    </w:p>
    <w:p w:rsidR="00A12B80" w:rsidRPr="00A12B80" w:rsidRDefault="006563AB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80" w:rsidRPr="00A12B80" w:rsidRDefault="006563AB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Михеево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</w:t>
      </w:r>
      <w:r w:rsidR="006563A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311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11" w:name="_GoBack"/>
      <w:bookmarkEnd w:id="11"/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31"/>
      <w:bookmarkEnd w:id="12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N 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зеленых насаждений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6563AB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Михеево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от ___________ 202__ г.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Комиссия в составе: 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(Ф.И.О., должность)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Руководствуясь заявлением 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 или наименование</w:t>
      </w:r>
      <w:proofErr w:type="gramEnd"/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юридического лица)</w:t>
      </w:r>
    </w:p>
    <w:p w:rsidR="00A12B80" w:rsidRPr="00A12B80" w:rsidRDefault="006563AB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20</w:t>
      </w:r>
      <w:r w:rsidR="00A12B80"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N __, Комиссия произвела обследование  зеленых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и номер регистрации)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насаждений, расположенных по адресу: _____________________________________.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Комиссией установлено: 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Выводы комиссии: 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6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(Ф.И.О.)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                _________ 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(Ф.И.О.)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 _________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(Ф.И.О.)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6563AB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_____________________________</w:t>
      </w:r>
    </w:p>
    <w:p w:rsidR="006563AB" w:rsidRPr="00A12B80" w:rsidRDefault="006563AB" w:rsidP="00656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A12B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(Ф.И.О.)</w:t>
      </w: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80" w:rsidRPr="00A12B80" w:rsidRDefault="00A12B80" w:rsidP="00A12B8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735" w:rsidRDefault="00790735"/>
    <w:sectPr w:rsidR="00790735" w:rsidSect="00CC24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0"/>
    <w:rsid w:val="000D0179"/>
    <w:rsid w:val="00173819"/>
    <w:rsid w:val="003331A6"/>
    <w:rsid w:val="006563AB"/>
    <w:rsid w:val="006C3C1F"/>
    <w:rsid w:val="00790735"/>
    <w:rsid w:val="009556E7"/>
    <w:rsid w:val="00A12B80"/>
    <w:rsid w:val="00A305F5"/>
    <w:rsid w:val="00A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BD95B6013E45922110CB9B7DD441E1F74C548A4C7075337ECF9EE844100CB661EB7C491F31BCB43D8636BE1DD6C412L8c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D95B6013E45922110CB9B7DD441E1F74C548A4E71743B70C7C3E24C4900B466E4234C0A20E4B93F9A28BD00CAC61085L1cEJ" TargetMode="External"/><Relationship Id="rId5" Type="http://schemas.openxmlformats.org/officeDocument/2006/relationships/hyperlink" Target="consultantplus://offline/ref=A2BD95B6013E45922110D5966BB81FEFF24F0D8244262A677AC5CBB01B495CF130ED281A4564B2AA3D9834LBc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2021-02-24T04:43:00Z</cp:lastPrinted>
  <dcterms:created xsi:type="dcterms:W3CDTF">2021-01-25T09:45:00Z</dcterms:created>
  <dcterms:modified xsi:type="dcterms:W3CDTF">2021-02-24T04:46:00Z</dcterms:modified>
</cp:coreProperties>
</file>